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3555" w14:textId="27ACFD03" w:rsidR="00372C5D" w:rsidRPr="00641403" w:rsidRDefault="00641403" w:rsidP="00641403">
      <w:pPr>
        <w:pStyle w:val="Title"/>
        <w:spacing w:after="120" w:line="240" w:lineRule="auto"/>
        <w:rPr>
          <w:sz w:val="40"/>
          <w:szCs w:val="40"/>
        </w:rPr>
      </w:pPr>
      <w:bookmarkStart w:id="0" w:name="_Hlk172693691"/>
      <w:r w:rsidRPr="00641403">
        <w:rPr>
          <w:sz w:val="40"/>
          <w:szCs w:val="40"/>
          <w:lang w:val="en-US"/>
        </w:rPr>
        <w:t>Proactive Strategies to Address Unauthorized GenAI Use</w:t>
      </w:r>
    </w:p>
    <w:bookmarkEnd w:id="0"/>
    <w:p w14:paraId="5E3F1573" w14:textId="65887D8C" w:rsidR="00641403" w:rsidRPr="00641403" w:rsidRDefault="00641403" w:rsidP="00641403">
      <w:pPr>
        <w:spacing w:line="240" w:lineRule="auto"/>
      </w:pPr>
      <w:r w:rsidRPr="00641403">
        <w:t>Instructors can promote academic integrity through ethical and effective course design, delivery, and assessment strategies (</w:t>
      </w:r>
      <w:hyperlink r:id="rId8">
        <w:r w:rsidRPr="00641403">
          <w:rPr>
            <w:rStyle w:val="Hyperlink"/>
          </w:rPr>
          <w:t>Eaton, 2024</w:t>
        </w:r>
      </w:hyperlink>
      <w:r w:rsidRPr="00641403">
        <w:t>). In the context of generative AI (GenAI), consider:</w:t>
      </w:r>
    </w:p>
    <w:p w14:paraId="2AEAA98B" w14:textId="7DE2B3E7" w:rsidR="00641403" w:rsidRPr="00641403" w:rsidRDefault="00641403" w:rsidP="00641403">
      <w:pPr>
        <w:pStyle w:val="Heading1"/>
        <w:spacing w:before="240" w:after="120" w:line="240" w:lineRule="auto"/>
        <w:rPr>
          <w:sz w:val="32"/>
          <w:szCs w:val="32"/>
        </w:rPr>
      </w:pPr>
      <w:r w:rsidRPr="00641403">
        <w:rPr>
          <w:sz w:val="32"/>
          <w:szCs w:val="32"/>
        </w:rPr>
        <w:t>Fostering Honesty via Course Design</w:t>
      </w:r>
    </w:p>
    <w:p w14:paraId="54A13401" w14:textId="77777777" w:rsidR="00641403" w:rsidRPr="00641403" w:rsidRDefault="00641403" w:rsidP="00641403">
      <w:pPr>
        <w:numPr>
          <w:ilvl w:val="0"/>
          <w:numId w:val="39"/>
        </w:numPr>
        <w:spacing w:line="240" w:lineRule="auto"/>
        <w:rPr>
          <w:lang w:val="en-US"/>
        </w:rPr>
      </w:pPr>
      <w:r w:rsidRPr="00641403">
        <w:rPr>
          <w:b/>
          <w:bCs/>
          <w:lang w:val="en-US"/>
        </w:rPr>
        <w:t>Clear syllabus statements</w:t>
      </w:r>
      <w:r w:rsidRPr="00641403">
        <w:rPr>
          <w:lang w:val="en-US"/>
        </w:rPr>
        <w:t xml:space="preserve">: Explicitly define authorized/unauthorized GenAI use for your course. If you need language about GenAI for your syllabi, </w:t>
      </w:r>
      <w:hyperlink r:id="rId9" w:tgtFrame="_blank" w:history="1">
        <w:r w:rsidRPr="00641403">
          <w:rPr>
            <w:rStyle w:val="Hyperlink"/>
            <w:lang w:val="en-US"/>
          </w:rPr>
          <w:t>U of T has examples available.</w:t>
        </w:r>
      </w:hyperlink>
      <w:r w:rsidRPr="00641403">
        <w:t> </w:t>
      </w:r>
    </w:p>
    <w:p w14:paraId="4754F4B0" w14:textId="77777777" w:rsidR="00641403" w:rsidRPr="00641403" w:rsidRDefault="00641403" w:rsidP="00641403">
      <w:pPr>
        <w:numPr>
          <w:ilvl w:val="0"/>
          <w:numId w:val="39"/>
        </w:numPr>
        <w:spacing w:line="240" w:lineRule="auto"/>
        <w:rPr>
          <w:lang w:val="en-US"/>
        </w:rPr>
      </w:pPr>
      <w:r w:rsidRPr="00641403">
        <w:rPr>
          <w:b/>
          <w:bCs/>
          <w:lang w:val="en-US"/>
        </w:rPr>
        <w:t>Purposeful assignment design</w:t>
      </w:r>
      <w:r w:rsidRPr="00641403">
        <w:rPr>
          <w:lang w:val="en-US"/>
        </w:rPr>
        <w:t xml:space="preserve">: Create meaningful assessments that encourage students to focus on the process of learning, prioritizing critical thinking, reflection, and classroom-specific content; see </w:t>
      </w:r>
      <w:hyperlink r:id="rId10" w:tgtFrame="_blank" w:history="1">
        <w:r w:rsidRPr="00641403">
          <w:rPr>
            <w:rStyle w:val="Hyperlink"/>
            <w:lang w:val="en-US"/>
          </w:rPr>
          <w:t>CTSI’s Teaching with Generative AI</w:t>
        </w:r>
      </w:hyperlink>
      <w:r w:rsidRPr="00641403">
        <w:t>.</w:t>
      </w:r>
    </w:p>
    <w:p w14:paraId="213BD41D" w14:textId="77777777" w:rsidR="00641403" w:rsidRPr="00641403" w:rsidRDefault="00641403" w:rsidP="00641403">
      <w:pPr>
        <w:numPr>
          <w:ilvl w:val="0"/>
          <w:numId w:val="39"/>
        </w:numPr>
        <w:spacing w:line="240" w:lineRule="auto"/>
      </w:pPr>
      <w:r w:rsidRPr="00641403">
        <w:rPr>
          <w:b/>
          <w:bCs/>
          <w:lang w:val="en-US"/>
        </w:rPr>
        <w:t>Scaffolded assignments</w:t>
      </w:r>
      <w:r w:rsidRPr="00641403">
        <w:rPr>
          <w:lang w:val="en-US"/>
        </w:rPr>
        <w:t xml:space="preserve">: Break projects into smaller components with </w:t>
      </w:r>
      <w:r w:rsidRPr="00641403">
        <w:t xml:space="preserve">checkpoints to identify and assist struggling students early. This encourages students to focus on the learning process, rather than the final outcome; see </w:t>
      </w:r>
      <w:hyperlink r:id="rId11" w:history="1">
        <w:r w:rsidRPr="00641403">
          <w:rPr>
            <w:rStyle w:val="Hyperlink"/>
            <w:lang w:val="en-US"/>
          </w:rPr>
          <w:t>CTSI’s Teaching Resources</w:t>
        </w:r>
      </w:hyperlink>
      <w:r w:rsidRPr="00641403">
        <w:t xml:space="preserve">.  </w:t>
      </w:r>
    </w:p>
    <w:p w14:paraId="0F451DA7" w14:textId="71E10DBC" w:rsidR="00641403" w:rsidRPr="00641403" w:rsidRDefault="00641403" w:rsidP="00641403">
      <w:pPr>
        <w:numPr>
          <w:ilvl w:val="0"/>
          <w:numId w:val="39"/>
        </w:numPr>
        <w:spacing w:line="240" w:lineRule="auto"/>
        <w:rPr>
          <w:lang w:val="en-US"/>
        </w:rPr>
      </w:pPr>
      <w:r w:rsidRPr="00641403">
        <w:rPr>
          <w:b/>
          <w:bCs/>
          <w:lang w:val="en-US"/>
        </w:rPr>
        <w:t>Reflections on AI use:</w:t>
      </w:r>
      <w:r w:rsidRPr="00641403">
        <w:rPr>
          <w:lang w:val="en-US"/>
        </w:rPr>
        <w:t xml:space="preserve"> Ask students to explain if and how they integrated AI tools into their workflow. If none were used, have students describe their research, analysis, and creative process. This metacognitive practice can build intrinsic motivation</w:t>
      </w:r>
      <w:r w:rsidR="009D3F04">
        <w:rPr>
          <w:lang w:val="en-US"/>
        </w:rPr>
        <w:t xml:space="preserve">; </w:t>
      </w:r>
      <w:r w:rsidR="009D3F04" w:rsidRPr="009D3F04">
        <w:rPr>
          <w:lang w:val="en-US"/>
        </w:rPr>
        <w:t xml:space="preserve">see </w:t>
      </w:r>
      <w:hyperlink r:id="rId12" w:history="1">
        <w:r w:rsidR="009D3F04" w:rsidRPr="009D3F04">
          <w:rPr>
            <w:rStyle w:val="Hyperlink"/>
            <w:lang w:val="en-US"/>
          </w:rPr>
          <w:t>CTSI’s Assessment Process Reflection Template</w:t>
        </w:r>
      </w:hyperlink>
      <w:r w:rsidR="009D3F04" w:rsidRPr="009D3F04">
        <w:rPr>
          <w:lang w:val="en-US"/>
        </w:rPr>
        <w:t>.</w:t>
      </w:r>
    </w:p>
    <w:p w14:paraId="7CD78B4D" w14:textId="0B45DFCE" w:rsidR="00641403" w:rsidRPr="00641403" w:rsidRDefault="00641403" w:rsidP="00641403">
      <w:pPr>
        <w:numPr>
          <w:ilvl w:val="0"/>
          <w:numId w:val="39"/>
        </w:numPr>
        <w:spacing w:line="240" w:lineRule="auto"/>
        <w:rPr>
          <w:lang w:val="en-US"/>
        </w:rPr>
      </w:pPr>
      <w:r w:rsidRPr="00641403">
        <w:rPr>
          <w:lang w:val="en-US"/>
        </w:rPr>
        <w:t>For a practical example of assessment design that uses scaffolding, reflection, and course-specific application to emphasize and evaluate students</w:t>
      </w:r>
      <w:r>
        <w:rPr>
          <w:lang w:val="en-US"/>
        </w:rPr>
        <w:t>’</w:t>
      </w:r>
      <w:r w:rsidRPr="00641403">
        <w:rPr>
          <w:lang w:val="en-US"/>
        </w:rPr>
        <w:t xml:space="preserve"> original thinking, see </w:t>
      </w:r>
      <w:hyperlink r:id="rId13">
        <w:r w:rsidRPr="00641403">
          <w:rPr>
            <w:rStyle w:val="Hyperlink"/>
            <w:lang w:val="en-US"/>
          </w:rPr>
          <w:t>First-Year Drama Essay Assignment (Simon Fraser University)</w:t>
        </w:r>
      </w:hyperlink>
      <w:r w:rsidRPr="00641403">
        <w:t>.</w:t>
      </w:r>
    </w:p>
    <w:p w14:paraId="372C9E55" w14:textId="74080068" w:rsidR="00641403" w:rsidRPr="00641403" w:rsidRDefault="00641403" w:rsidP="00641403">
      <w:pPr>
        <w:pStyle w:val="Heading1"/>
        <w:spacing w:before="240" w:after="120" w:line="240" w:lineRule="auto"/>
        <w:rPr>
          <w:sz w:val="32"/>
          <w:szCs w:val="32"/>
        </w:rPr>
      </w:pPr>
      <w:r w:rsidRPr="00641403">
        <w:rPr>
          <w:sz w:val="32"/>
          <w:szCs w:val="32"/>
        </w:rPr>
        <w:t>Educating Students on Best Practices</w:t>
      </w:r>
    </w:p>
    <w:p w14:paraId="45C2E890" w14:textId="77777777" w:rsidR="00641403" w:rsidRPr="00641403" w:rsidRDefault="00641403" w:rsidP="00641403">
      <w:pPr>
        <w:numPr>
          <w:ilvl w:val="0"/>
          <w:numId w:val="37"/>
        </w:numPr>
        <w:spacing w:line="240" w:lineRule="auto"/>
        <w:ind w:left="360"/>
        <w:rPr>
          <w:lang w:val="en-US"/>
        </w:rPr>
      </w:pPr>
      <w:r w:rsidRPr="00641403">
        <w:rPr>
          <w:b/>
          <w:bCs/>
          <w:lang w:val="en-US"/>
        </w:rPr>
        <w:t>Clarify expectations</w:t>
      </w:r>
      <w:r w:rsidRPr="00641403">
        <w:rPr>
          <w:lang w:val="en-US"/>
        </w:rPr>
        <w:t xml:space="preserve">: Collaborate with your TAs to provide ongoing discussions of appropriate vs. inappropriate uses of AI tools; see </w:t>
      </w:r>
      <w:hyperlink r:id="rId14" w:history="1">
        <w:r w:rsidRPr="00641403">
          <w:rPr>
            <w:rStyle w:val="Hyperlink"/>
            <w:lang w:val="en-US"/>
          </w:rPr>
          <w:t>TATP’s Teaching with GenAI</w:t>
        </w:r>
      </w:hyperlink>
      <w:r w:rsidRPr="00641403">
        <w:rPr>
          <w:lang w:val="en-US"/>
        </w:rPr>
        <w:t>.</w:t>
      </w:r>
    </w:p>
    <w:p w14:paraId="6160B34D" w14:textId="77777777" w:rsidR="00641403" w:rsidRPr="00641403" w:rsidRDefault="00641403" w:rsidP="00641403">
      <w:pPr>
        <w:numPr>
          <w:ilvl w:val="0"/>
          <w:numId w:val="37"/>
        </w:numPr>
        <w:spacing w:line="240" w:lineRule="auto"/>
        <w:ind w:left="360"/>
      </w:pPr>
      <w:r w:rsidRPr="00641403">
        <w:rPr>
          <w:b/>
          <w:bCs/>
          <w:lang w:val="en-US"/>
        </w:rPr>
        <w:t>Model proper citation</w:t>
      </w:r>
      <w:r w:rsidRPr="00641403">
        <w:rPr>
          <w:lang w:val="en-US"/>
        </w:rPr>
        <w:t xml:space="preserve">: Demonstrate how to properly cite AI when permitted on an assessment; see UTL resources on </w:t>
      </w:r>
      <w:hyperlink r:id="rId15">
        <w:r w:rsidRPr="00641403">
          <w:rPr>
            <w:rStyle w:val="Hyperlink"/>
            <w:lang w:val="en-US"/>
          </w:rPr>
          <w:t>citing AI</w:t>
        </w:r>
      </w:hyperlink>
      <w:r w:rsidRPr="00641403">
        <w:rPr>
          <w:lang w:val="en-US"/>
        </w:rPr>
        <w:t xml:space="preserve">, </w:t>
      </w:r>
      <w:hyperlink r:id="rId16">
        <w:r w:rsidRPr="00641403">
          <w:rPr>
            <w:rStyle w:val="Hyperlink"/>
            <w:lang w:val="en-US"/>
          </w:rPr>
          <w:t>image research</w:t>
        </w:r>
      </w:hyperlink>
      <w:r w:rsidRPr="00641403">
        <w:rPr>
          <w:lang w:val="en-US"/>
        </w:rPr>
        <w:t xml:space="preserve">, and </w:t>
      </w:r>
      <w:hyperlink r:id="rId17">
        <w:r w:rsidRPr="00641403">
          <w:rPr>
            <w:rStyle w:val="Hyperlink"/>
            <w:lang w:val="en-US"/>
          </w:rPr>
          <w:t>copyright considerations</w:t>
        </w:r>
      </w:hyperlink>
      <w:r w:rsidRPr="00641403">
        <w:rPr>
          <w:lang w:val="en-US"/>
        </w:rPr>
        <w:t>.</w:t>
      </w:r>
    </w:p>
    <w:p w14:paraId="55CB8CC1" w14:textId="77777777" w:rsidR="00641403" w:rsidRPr="00641403" w:rsidRDefault="00641403" w:rsidP="00641403">
      <w:pPr>
        <w:numPr>
          <w:ilvl w:val="0"/>
          <w:numId w:val="37"/>
        </w:numPr>
        <w:spacing w:line="240" w:lineRule="auto"/>
        <w:ind w:left="360"/>
      </w:pPr>
      <w:r w:rsidRPr="00641403">
        <w:rPr>
          <w:b/>
          <w:bCs/>
        </w:rPr>
        <w:t>Emphasize the value of original thought</w:t>
      </w:r>
      <w:r w:rsidRPr="00641403">
        <w:t>: Encourage students to recognize that their unique voice, creativity, and critical thinking are invaluable and irreplaceable when completing assessments, whether they be writing, coding, or multimedia projects.</w:t>
      </w:r>
    </w:p>
    <w:p w14:paraId="68469D7B" w14:textId="4F0A9F27" w:rsidR="00641403" w:rsidRPr="00641403" w:rsidRDefault="00641403" w:rsidP="00641403">
      <w:pPr>
        <w:numPr>
          <w:ilvl w:val="0"/>
          <w:numId w:val="37"/>
        </w:numPr>
        <w:spacing w:line="240" w:lineRule="auto"/>
        <w:ind w:left="360"/>
        <w:rPr>
          <w:lang w:val="en-US"/>
        </w:rPr>
      </w:pPr>
      <w:r w:rsidRPr="00641403">
        <w:rPr>
          <w:b/>
          <w:bCs/>
          <w:lang w:val="en-US"/>
        </w:rPr>
        <w:t>Discuss AI limitations and risks</w:t>
      </w:r>
      <w:r w:rsidRPr="00641403">
        <w:rPr>
          <w:lang w:val="en-US"/>
        </w:rPr>
        <w:t>: Explain the limitations of GenAI (hallucinations, fabricated references), emphasizing the importance of fact-checking and digital literacy.</w:t>
      </w:r>
    </w:p>
    <w:p w14:paraId="41375471" w14:textId="1BF7438D" w:rsidR="00641403" w:rsidRDefault="00641403" w:rsidP="00641403">
      <w:pPr>
        <w:pStyle w:val="Heading1"/>
        <w:spacing w:before="240" w:after="120" w:line="240" w:lineRule="auto"/>
      </w:pPr>
      <w:r w:rsidRPr="00641403">
        <w:t>Identifying Possible Misconduct Cases</w:t>
      </w:r>
    </w:p>
    <w:p w14:paraId="0E12BDAB" w14:textId="1C2A5334" w:rsidR="00641403" w:rsidRPr="00641403" w:rsidRDefault="00641403" w:rsidP="00641403">
      <w:pPr>
        <w:numPr>
          <w:ilvl w:val="0"/>
          <w:numId w:val="38"/>
        </w:numPr>
        <w:spacing w:line="240" w:lineRule="auto"/>
        <w:ind w:left="360"/>
      </w:pPr>
      <w:r w:rsidRPr="00CB16E7">
        <w:rPr>
          <w:b/>
          <w:bCs/>
          <w:lang w:val="en-US"/>
        </w:rPr>
        <w:t>Before issues arise, familiarize yourself with traditional detection methods</w:t>
      </w:r>
      <w:r w:rsidRPr="00641403">
        <w:rPr>
          <w:lang w:val="en-US"/>
        </w:rPr>
        <w:t xml:space="preserve"> (e.g.</w:t>
      </w:r>
      <w:r>
        <w:rPr>
          <w:lang w:val="en-US"/>
        </w:rPr>
        <w:t>,</w:t>
      </w:r>
      <w:r w:rsidRPr="00641403">
        <w:rPr>
          <w:lang w:val="en-US"/>
        </w:rPr>
        <w:t xml:space="preserve"> the student cannot explain their work) and the </w:t>
      </w:r>
      <w:hyperlink r:id="rId18" w:tgtFrame="_blank" w:history="1">
        <w:r w:rsidRPr="00641403">
          <w:rPr>
            <w:rStyle w:val="Hyperlink"/>
            <w:lang w:val="en-US"/>
          </w:rPr>
          <w:t>standard academic misconduct process</w:t>
        </w:r>
      </w:hyperlink>
      <w:r w:rsidRPr="00641403">
        <w:rPr>
          <w:lang w:val="en-US"/>
        </w:rPr>
        <w:t>.</w:t>
      </w:r>
    </w:p>
    <w:p w14:paraId="00030C69" w14:textId="19EA0CCA" w:rsidR="00641403" w:rsidRPr="00641403" w:rsidRDefault="00641403" w:rsidP="00641403">
      <w:pPr>
        <w:numPr>
          <w:ilvl w:val="0"/>
          <w:numId w:val="38"/>
        </w:numPr>
        <w:spacing w:line="240" w:lineRule="auto"/>
        <w:ind w:left="360"/>
        <w:rPr>
          <w:lang w:val="en-US"/>
        </w:rPr>
      </w:pPr>
      <w:r w:rsidRPr="00CB16E7">
        <w:rPr>
          <w:b/>
          <w:bCs/>
          <w:lang w:val="en-US"/>
        </w:rPr>
        <w:t>AI-detection software programs are unreliable and biased</w:t>
      </w:r>
      <w:r w:rsidRPr="00641403">
        <w:rPr>
          <w:lang w:val="en-US"/>
        </w:rPr>
        <w:t xml:space="preserve"> against non-native English writers (</w:t>
      </w:r>
      <w:hyperlink r:id="rId19">
        <w:r w:rsidRPr="00641403">
          <w:rPr>
            <w:rStyle w:val="Hyperlink"/>
            <w:lang w:val="en-US"/>
          </w:rPr>
          <w:t>Elkhatat et al., 2023</w:t>
        </w:r>
      </w:hyperlink>
      <w:r w:rsidRPr="00641403">
        <w:rPr>
          <w:lang w:val="en-US"/>
        </w:rPr>
        <w:t xml:space="preserve">; </w:t>
      </w:r>
      <w:hyperlink r:id="rId20">
        <w:r w:rsidRPr="00641403">
          <w:rPr>
            <w:rStyle w:val="Hyperlink"/>
            <w:lang w:val="en-US"/>
          </w:rPr>
          <w:t>Liang et al., 2023</w:t>
        </w:r>
      </w:hyperlink>
      <w:r w:rsidRPr="00641403">
        <w:rPr>
          <w:lang w:val="en-US"/>
        </w:rPr>
        <w:t xml:space="preserve">; </w:t>
      </w:r>
      <w:hyperlink r:id="rId21">
        <w:r w:rsidRPr="00641403">
          <w:rPr>
            <w:rStyle w:val="Hyperlink"/>
            <w:lang w:val="en-US"/>
          </w:rPr>
          <w:t>Saha and Feizi, 2025</w:t>
        </w:r>
      </w:hyperlink>
      <w:r w:rsidRPr="00641403">
        <w:rPr>
          <w:lang w:val="en-US"/>
        </w:rPr>
        <w:t xml:space="preserve">). U of T does not support the use of AI-detection tools; see the </w:t>
      </w:r>
      <w:hyperlink r:id="rId22" w:tgtFrame="_blank" w:history="1">
        <w:r w:rsidRPr="00641403">
          <w:rPr>
            <w:rStyle w:val="Hyperlink"/>
            <w:lang w:val="en-US"/>
          </w:rPr>
          <w:t>OVPIUE’s FAQ on Generative AI</w:t>
        </w:r>
      </w:hyperlink>
      <w:r w:rsidRPr="00641403">
        <w:rPr>
          <w:lang w:val="en-US"/>
        </w:rPr>
        <w:t>.</w:t>
      </w:r>
      <w:r w:rsidRPr="00641403">
        <w:t> </w:t>
      </w:r>
    </w:p>
    <w:p w14:paraId="0FFFCFF8" w14:textId="1C2A5334" w:rsidR="00641403" w:rsidRPr="00641403" w:rsidRDefault="00641403" w:rsidP="00641403">
      <w:pPr>
        <w:numPr>
          <w:ilvl w:val="0"/>
          <w:numId w:val="38"/>
        </w:numPr>
        <w:spacing w:line="240" w:lineRule="auto"/>
        <w:ind w:left="360"/>
        <w:rPr>
          <w:lang w:val="en-US"/>
        </w:rPr>
      </w:pPr>
      <w:r w:rsidRPr="00CB16E7">
        <w:rPr>
          <w:b/>
          <w:bCs/>
          <w:lang w:val="en-US"/>
        </w:rPr>
        <w:t>Personal intuition that a text is AI-generated has been shown to be inconsistent</w:t>
      </w:r>
      <w:r w:rsidRPr="00641403">
        <w:rPr>
          <w:lang w:val="en-US"/>
        </w:rPr>
        <w:t>, even when evaluators are experienced with GenAI and confident in their abilities (</w:t>
      </w:r>
      <w:hyperlink r:id="rId23">
        <w:r w:rsidRPr="00641403">
          <w:rPr>
            <w:rStyle w:val="Hyperlink"/>
            <w:lang w:val="en-US"/>
          </w:rPr>
          <w:t>Waltzer et al., 2024</w:t>
        </w:r>
      </w:hyperlink>
      <w:r w:rsidRPr="00641403">
        <w:rPr>
          <w:lang w:val="en-US"/>
        </w:rPr>
        <w:t>).</w:t>
      </w:r>
    </w:p>
    <w:p w14:paraId="11B3D9A9" w14:textId="026432DF" w:rsidR="00265ECE" w:rsidRDefault="00641403" w:rsidP="00641403">
      <w:pPr>
        <w:numPr>
          <w:ilvl w:val="0"/>
          <w:numId w:val="38"/>
        </w:numPr>
        <w:spacing w:line="240" w:lineRule="auto"/>
        <w:ind w:left="360"/>
      </w:pPr>
      <w:r w:rsidRPr="00641403">
        <w:rPr>
          <w:lang w:val="en-US"/>
        </w:rPr>
        <w:t>For further guidance, contact the head of your academic unit.</w:t>
      </w:r>
    </w:p>
    <w:sectPr w:rsidR="00265ECE" w:rsidSect="00641403">
      <w:headerReference w:type="even" r:id="rId24"/>
      <w:headerReference w:type="default" r:id="rId25"/>
      <w:footerReference w:type="even" r:id="rId26"/>
      <w:footerReference w:type="default" r:id="rId27"/>
      <w:headerReference w:type="first" r:id="rId28"/>
      <w:footerReference w:type="first" r:id="rId29"/>
      <w:pgSz w:w="12240" w:h="15840"/>
      <w:pgMar w:top="720" w:right="720" w:bottom="1080" w:left="720" w:header="288" w:footer="288" w:gutter="0"/>
      <w:cols w:space="1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055E" w14:textId="77777777" w:rsidR="0025415B" w:rsidRDefault="0025415B" w:rsidP="001D078C">
      <w:r>
        <w:separator/>
      </w:r>
    </w:p>
  </w:endnote>
  <w:endnote w:type="continuationSeparator" w:id="0">
    <w:p w14:paraId="4CF40FD0" w14:textId="77777777" w:rsidR="0025415B" w:rsidRDefault="0025415B" w:rsidP="001D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8738" w14:textId="77777777" w:rsidR="00641403" w:rsidRDefault="00641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615C" w14:textId="4CD395C5" w:rsidR="002E3704" w:rsidRDefault="002E3704" w:rsidP="001D078C">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7"/>
      <w:gridCol w:w="2693"/>
    </w:tblGrid>
    <w:tr w:rsidR="005D5D43" w14:paraId="535983A4" w14:textId="77777777" w:rsidTr="0033512F">
      <w:tc>
        <w:tcPr>
          <w:tcW w:w="8107" w:type="dxa"/>
        </w:tcPr>
        <w:p w14:paraId="752F0DCA" w14:textId="77777777" w:rsidR="005D5D43" w:rsidRDefault="005D5D43" w:rsidP="005D5D43">
          <w:pPr>
            <w:pStyle w:val="Footer"/>
          </w:pPr>
          <w:r>
            <w:rPr>
              <w:noProof/>
            </w:rPr>
            <w:drawing>
              <wp:inline distT="0" distB="0" distL="0" distR="0" wp14:anchorId="2C1C0C49" wp14:editId="4B1020F7">
                <wp:extent cx="2523889" cy="365760"/>
                <wp:effectExtent l="0" t="0" r="0" b="0"/>
                <wp:docPr id="3" name="Picture 3" descr="University of Toronto, Centre for Teaching Support &amp;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TSI Colour Signature Text Lockup-digital.png"/>
                        <pic:cNvPicPr/>
                      </pic:nvPicPr>
                      <pic:blipFill>
                        <a:blip r:embed="rId1">
                          <a:extLst>
                            <a:ext uri="{28A0092B-C50C-407E-A947-70E740481C1C}">
                              <a14:useLocalDpi xmlns:a14="http://schemas.microsoft.com/office/drawing/2010/main" val="0"/>
                            </a:ext>
                          </a:extLst>
                        </a:blip>
                        <a:stretch>
                          <a:fillRect/>
                        </a:stretch>
                      </pic:blipFill>
                      <pic:spPr>
                        <a:xfrm>
                          <a:off x="0" y="0"/>
                          <a:ext cx="2523889" cy="365760"/>
                        </a:xfrm>
                        <a:prstGeom prst="rect">
                          <a:avLst/>
                        </a:prstGeom>
                      </pic:spPr>
                    </pic:pic>
                  </a:graphicData>
                </a:graphic>
              </wp:inline>
            </w:drawing>
          </w:r>
        </w:p>
      </w:tc>
      <w:tc>
        <w:tcPr>
          <w:tcW w:w="2693" w:type="dxa"/>
          <w:vAlign w:val="bottom"/>
        </w:tcPr>
        <w:p w14:paraId="2930E1F7" w14:textId="77777777" w:rsidR="005D5D43" w:rsidRDefault="005D5D43" w:rsidP="005D5D43">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6C257CBB" w14:textId="77777777" w:rsidR="005D5D43" w:rsidRPr="00677C43" w:rsidRDefault="005D5D43" w:rsidP="001D0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219826"/>
      <w:docPartObj>
        <w:docPartGallery w:val="Page Numbers (Bottom of Page)"/>
        <w:docPartUnique/>
      </w:docPartObj>
    </w:sdtPr>
    <w:sdtEndPr>
      <w:rPr>
        <w:noProof/>
      </w:rPr>
    </w:sdtEndPr>
    <w:sdtContent>
      <w:p w14:paraId="7CEB5EDD" w14:textId="59C8CD11" w:rsidR="002E3704" w:rsidRDefault="00641403" w:rsidP="00641403">
        <w:pPr>
          <w:pStyle w:val="Footer"/>
        </w:pPr>
        <w:r>
          <w:rPr>
            <w:noProof/>
          </w:rPr>
          <w:drawing>
            <wp:anchor distT="0" distB="0" distL="114300" distR="114300" simplePos="0" relativeHeight="251658240" behindDoc="0" locked="0" layoutInCell="1" allowOverlap="1" wp14:anchorId="752E4A55" wp14:editId="075FD063">
              <wp:simplePos x="0" y="0"/>
              <wp:positionH relativeFrom="column">
                <wp:posOffset>0</wp:posOffset>
              </wp:positionH>
              <wp:positionV relativeFrom="paragraph">
                <wp:posOffset>182880</wp:posOffset>
              </wp:positionV>
              <wp:extent cx="916218" cy="320040"/>
              <wp:effectExtent l="0" t="0" r="0" b="3810"/>
              <wp:wrapSquare wrapText="bothSides"/>
              <wp:docPr id="6" name="Picture 6" descr="CC Attribution Non-Commercial Share A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6218"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00C47" w14:textId="2E9510A9" w:rsidR="002E3704" w:rsidRPr="00810865" w:rsidRDefault="00D53765" w:rsidP="00641403">
        <w:pPr>
          <w:spacing w:line="240" w:lineRule="auto"/>
          <w:rPr>
            <w:sz w:val="20"/>
            <w:szCs w:val="20"/>
          </w:rPr>
        </w:pPr>
        <w:r>
          <w:rPr>
            <w:sz w:val="20"/>
            <w:szCs w:val="20"/>
          </w:rPr>
          <w:t xml:space="preserve"> </w:t>
        </w:r>
        <w:r w:rsidR="002E3704" w:rsidRPr="00A23773">
          <w:rPr>
            <w:sz w:val="20"/>
            <w:szCs w:val="20"/>
          </w:rPr>
          <w:t>© 202</w:t>
        </w:r>
        <w:r w:rsidR="00641403">
          <w:rPr>
            <w:sz w:val="20"/>
            <w:szCs w:val="20"/>
          </w:rPr>
          <w:t>5</w:t>
        </w:r>
        <w:r w:rsidR="002E3704" w:rsidRPr="00A23773">
          <w:rPr>
            <w:sz w:val="20"/>
            <w:szCs w:val="20"/>
          </w:rPr>
          <w:t xml:space="preserve">, Centre for Teaching Support &amp; Innovation. Except where otherwise noted, this work is made available under a </w:t>
        </w:r>
        <w:hyperlink r:id="rId2" w:history="1">
          <w:r w:rsidR="002E3704" w:rsidRPr="00A23773">
            <w:rPr>
              <w:rStyle w:val="Hyperlink"/>
              <w:sz w:val="20"/>
              <w:szCs w:val="20"/>
            </w:rPr>
            <w:t>Creative Commons Attribution-NonCommercial-ShareAlike 4.0 International (CC BY-NC-SA 4.0) License</w:t>
          </w:r>
        </w:hyperlink>
        <w:r w:rsidR="002E3704" w:rsidRPr="00A23773">
          <w:rPr>
            <w:sz w:val="20"/>
            <w:szCs w:val="20"/>
          </w:rPr>
          <w:t>.</w:t>
        </w:r>
      </w:p>
      <w:p w14:paraId="2A33E95E" w14:textId="221A8DA2" w:rsidR="002E3704" w:rsidRDefault="002E3704" w:rsidP="0064140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7"/>
          <w:gridCol w:w="2693"/>
        </w:tblGrid>
        <w:tr w:rsidR="00641403" w:rsidRPr="00641403" w14:paraId="0B4837A5" w14:textId="253FFA6E" w:rsidTr="00D53765">
          <w:tc>
            <w:tcPr>
              <w:tcW w:w="8107" w:type="dxa"/>
            </w:tcPr>
            <w:p w14:paraId="1670DAA2" w14:textId="492FE2E1" w:rsidR="005D5D43" w:rsidRDefault="005D5D43" w:rsidP="00641403">
              <w:pPr>
                <w:pStyle w:val="Footer"/>
              </w:pPr>
              <w:r>
                <w:rPr>
                  <w:noProof/>
                </w:rPr>
                <w:drawing>
                  <wp:inline distT="0" distB="0" distL="0" distR="0" wp14:anchorId="4D1FB0E6" wp14:editId="53D23541">
                    <wp:extent cx="2523889" cy="365760"/>
                    <wp:effectExtent l="0" t="0" r="0" b="0"/>
                    <wp:docPr id="1" name="Picture 1" descr="University of Toronto, Centre for Teaching Support &amp;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TSI Colour Signature Text Lockup-digital.png"/>
                            <pic:cNvPicPr/>
                          </pic:nvPicPr>
                          <pic:blipFill>
                            <a:blip r:embed="rId3">
                              <a:extLst>
                                <a:ext uri="{28A0092B-C50C-407E-A947-70E740481C1C}">
                                  <a14:useLocalDpi xmlns:a14="http://schemas.microsoft.com/office/drawing/2010/main" val="0"/>
                                </a:ext>
                              </a:extLst>
                            </a:blip>
                            <a:stretch>
                              <a:fillRect/>
                            </a:stretch>
                          </pic:blipFill>
                          <pic:spPr>
                            <a:xfrm>
                              <a:off x="0" y="0"/>
                              <a:ext cx="2523889" cy="365760"/>
                            </a:xfrm>
                            <a:prstGeom prst="rect">
                              <a:avLst/>
                            </a:prstGeom>
                          </pic:spPr>
                        </pic:pic>
                      </a:graphicData>
                    </a:graphic>
                  </wp:inline>
                </w:drawing>
              </w:r>
            </w:p>
          </w:tc>
          <w:tc>
            <w:tcPr>
              <w:tcW w:w="2693" w:type="dxa"/>
              <w:vAlign w:val="bottom"/>
            </w:tcPr>
            <w:p w14:paraId="02803399" w14:textId="568D44BC" w:rsidR="005D5D43" w:rsidRPr="00641403" w:rsidRDefault="00641403" w:rsidP="00641403">
              <w:pPr>
                <w:pStyle w:val="Footer"/>
                <w:jc w:val="right"/>
              </w:pPr>
              <w:r w:rsidRPr="00641403">
                <w:t>Updated April 17, 2025</w:t>
              </w:r>
            </w:p>
          </w:tc>
        </w:tr>
      </w:tbl>
      <w:p w14:paraId="248C925E" w14:textId="12C42035" w:rsidR="002E3704" w:rsidRDefault="00000000" w:rsidP="00641403">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9FB1" w14:textId="77777777" w:rsidR="0025415B" w:rsidRDefault="0025415B" w:rsidP="001D078C">
      <w:r>
        <w:separator/>
      </w:r>
    </w:p>
  </w:footnote>
  <w:footnote w:type="continuationSeparator" w:id="0">
    <w:p w14:paraId="6F701A3C" w14:textId="77777777" w:rsidR="0025415B" w:rsidRDefault="0025415B" w:rsidP="001D0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E7E4" w14:textId="77777777" w:rsidR="00641403" w:rsidRDefault="00641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BB2C" w14:textId="77777777" w:rsidR="00641403" w:rsidRDefault="00641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83D5" w14:textId="77777777" w:rsidR="00641403" w:rsidRDefault="00641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8B3"/>
    <w:multiLevelType w:val="hybridMultilevel"/>
    <w:tmpl w:val="832C96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76445"/>
    <w:multiLevelType w:val="hybridMultilevel"/>
    <w:tmpl w:val="EC505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3E279D"/>
    <w:multiLevelType w:val="hybridMultilevel"/>
    <w:tmpl w:val="DFEE6506"/>
    <w:lvl w:ilvl="0" w:tplc="AC3295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F5D84"/>
    <w:multiLevelType w:val="hybridMultilevel"/>
    <w:tmpl w:val="C4F6B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984FBB"/>
    <w:multiLevelType w:val="hybridMultilevel"/>
    <w:tmpl w:val="0B2AB5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0C3E08"/>
    <w:multiLevelType w:val="hybridMultilevel"/>
    <w:tmpl w:val="057A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25E79"/>
    <w:multiLevelType w:val="hybridMultilevel"/>
    <w:tmpl w:val="0ED42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AAF1E59"/>
    <w:multiLevelType w:val="hybridMultilevel"/>
    <w:tmpl w:val="D4AEAC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C512EBE"/>
    <w:multiLevelType w:val="hybridMultilevel"/>
    <w:tmpl w:val="DCE03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E627416"/>
    <w:multiLevelType w:val="hybridMultilevel"/>
    <w:tmpl w:val="9B56B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1B032E5"/>
    <w:multiLevelType w:val="hybridMultilevel"/>
    <w:tmpl w:val="78AA7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761A7B"/>
    <w:multiLevelType w:val="hybridMultilevel"/>
    <w:tmpl w:val="4E64D3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806624C"/>
    <w:multiLevelType w:val="hybridMultilevel"/>
    <w:tmpl w:val="7D386E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A67650"/>
    <w:multiLevelType w:val="hybridMultilevel"/>
    <w:tmpl w:val="56B02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9471D"/>
    <w:multiLevelType w:val="hybridMultilevel"/>
    <w:tmpl w:val="ABCE6B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1370DB"/>
    <w:multiLevelType w:val="hybridMultilevel"/>
    <w:tmpl w:val="BADC39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AFF411B"/>
    <w:multiLevelType w:val="hybridMultilevel"/>
    <w:tmpl w:val="D22A2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46E180F"/>
    <w:multiLevelType w:val="hybridMultilevel"/>
    <w:tmpl w:val="3ECEF3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4F84CED"/>
    <w:multiLevelType w:val="hybridMultilevel"/>
    <w:tmpl w:val="BFA4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72C6C"/>
    <w:multiLevelType w:val="hybridMultilevel"/>
    <w:tmpl w:val="C0028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854C74"/>
    <w:multiLevelType w:val="hybridMultilevel"/>
    <w:tmpl w:val="90941E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187BB2"/>
    <w:multiLevelType w:val="hybridMultilevel"/>
    <w:tmpl w:val="3F700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A1450CC"/>
    <w:multiLevelType w:val="hybridMultilevel"/>
    <w:tmpl w:val="B89CBA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12B60C2"/>
    <w:multiLevelType w:val="hybridMultilevel"/>
    <w:tmpl w:val="712E8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77B0272"/>
    <w:multiLevelType w:val="hybridMultilevel"/>
    <w:tmpl w:val="0CA6A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82A3D77"/>
    <w:multiLevelType w:val="hybridMultilevel"/>
    <w:tmpl w:val="5EA65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F8B54D5"/>
    <w:multiLevelType w:val="hybridMultilevel"/>
    <w:tmpl w:val="4A040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03407D9"/>
    <w:multiLevelType w:val="hybridMultilevel"/>
    <w:tmpl w:val="600AB3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755C17"/>
    <w:multiLevelType w:val="hybridMultilevel"/>
    <w:tmpl w:val="319208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5CC01CB"/>
    <w:multiLevelType w:val="hybridMultilevel"/>
    <w:tmpl w:val="EF3A1F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CE4D7A"/>
    <w:multiLevelType w:val="hybridMultilevel"/>
    <w:tmpl w:val="2132FA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69106C4"/>
    <w:multiLevelType w:val="hybridMultilevel"/>
    <w:tmpl w:val="9F3ADD1C"/>
    <w:lvl w:ilvl="0" w:tplc="10090001">
      <w:start w:val="1"/>
      <w:numFmt w:val="bullet"/>
      <w:lvlText w:val=""/>
      <w:lvlJc w:val="left"/>
      <w:pPr>
        <w:ind w:left="771" w:hanging="360"/>
      </w:pPr>
      <w:rPr>
        <w:rFonts w:ascii="Symbol" w:hAnsi="Symbol" w:hint="default"/>
      </w:rPr>
    </w:lvl>
    <w:lvl w:ilvl="1" w:tplc="10090003" w:tentative="1">
      <w:start w:val="1"/>
      <w:numFmt w:val="bullet"/>
      <w:lvlText w:val="o"/>
      <w:lvlJc w:val="left"/>
      <w:pPr>
        <w:ind w:left="1491" w:hanging="360"/>
      </w:pPr>
      <w:rPr>
        <w:rFonts w:ascii="Courier New" w:hAnsi="Courier New" w:cs="Courier New" w:hint="default"/>
      </w:rPr>
    </w:lvl>
    <w:lvl w:ilvl="2" w:tplc="10090005" w:tentative="1">
      <w:start w:val="1"/>
      <w:numFmt w:val="bullet"/>
      <w:lvlText w:val=""/>
      <w:lvlJc w:val="left"/>
      <w:pPr>
        <w:ind w:left="2211" w:hanging="360"/>
      </w:pPr>
      <w:rPr>
        <w:rFonts w:ascii="Wingdings" w:hAnsi="Wingdings" w:hint="default"/>
      </w:rPr>
    </w:lvl>
    <w:lvl w:ilvl="3" w:tplc="10090001" w:tentative="1">
      <w:start w:val="1"/>
      <w:numFmt w:val="bullet"/>
      <w:lvlText w:val=""/>
      <w:lvlJc w:val="left"/>
      <w:pPr>
        <w:ind w:left="2931" w:hanging="360"/>
      </w:pPr>
      <w:rPr>
        <w:rFonts w:ascii="Symbol" w:hAnsi="Symbol" w:hint="default"/>
      </w:rPr>
    </w:lvl>
    <w:lvl w:ilvl="4" w:tplc="10090003" w:tentative="1">
      <w:start w:val="1"/>
      <w:numFmt w:val="bullet"/>
      <w:lvlText w:val="o"/>
      <w:lvlJc w:val="left"/>
      <w:pPr>
        <w:ind w:left="3651" w:hanging="360"/>
      </w:pPr>
      <w:rPr>
        <w:rFonts w:ascii="Courier New" w:hAnsi="Courier New" w:cs="Courier New" w:hint="default"/>
      </w:rPr>
    </w:lvl>
    <w:lvl w:ilvl="5" w:tplc="10090005" w:tentative="1">
      <w:start w:val="1"/>
      <w:numFmt w:val="bullet"/>
      <w:lvlText w:val=""/>
      <w:lvlJc w:val="left"/>
      <w:pPr>
        <w:ind w:left="4371" w:hanging="360"/>
      </w:pPr>
      <w:rPr>
        <w:rFonts w:ascii="Wingdings" w:hAnsi="Wingdings" w:hint="default"/>
      </w:rPr>
    </w:lvl>
    <w:lvl w:ilvl="6" w:tplc="10090001" w:tentative="1">
      <w:start w:val="1"/>
      <w:numFmt w:val="bullet"/>
      <w:lvlText w:val=""/>
      <w:lvlJc w:val="left"/>
      <w:pPr>
        <w:ind w:left="5091" w:hanging="360"/>
      </w:pPr>
      <w:rPr>
        <w:rFonts w:ascii="Symbol" w:hAnsi="Symbol" w:hint="default"/>
      </w:rPr>
    </w:lvl>
    <w:lvl w:ilvl="7" w:tplc="10090003" w:tentative="1">
      <w:start w:val="1"/>
      <w:numFmt w:val="bullet"/>
      <w:lvlText w:val="o"/>
      <w:lvlJc w:val="left"/>
      <w:pPr>
        <w:ind w:left="5811" w:hanging="360"/>
      </w:pPr>
      <w:rPr>
        <w:rFonts w:ascii="Courier New" w:hAnsi="Courier New" w:cs="Courier New" w:hint="default"/>
      </w:rPr>
    </w:lvl>
    <w:lvl w:ilvl="8" w:tplc="10090005" w:tentative="1">
      <w:start w:val="1"/>
      <w:numFmt w:val="bullet"/>
      <w:lvlText w:val=""/>
      <w:lvlJc w:val="left"/>
      <w:pPr>
        <w:ind w:left="6531" w:hanging="360"/>
      </w:pPr>
      <w:rPr>
        <w:rFonts w:ascii="Wingdings" w:hAnsi="Wingdings" w:hint="default"/>
      </w:rPr>
    </w:lvl>
  </w:abstractNum>
  <w:abstractNum w:abstractNumId="32" w15:restartNumberingAfterBreak="0">
    <w:nsid w:val="6B6F5E31"/>
    <w:multiLevelType w:val="hybridMultilevel"/>
    <w:tmpl w:val="97BA3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D7F6498"/>
    <w:multiLevelType w:val="hybridMultilevel"/>
    <w:tmpl w:val="7D30FB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1DD7F6B"/>
    <w:multiLevelType w:val="hybridMultilevel"/>
    <w:tmpl w:val="124407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30141F3"/>
    <w:multiLevelType w:val="hybridMultilevel"/>
    <w:tmpl w:val="7CC62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5A75724"/>
    <w:multiLevelType w:val="hybridMultilevel"/>
    <w:tmpl w:val="98DCAC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5ED4ECA"/>
    <w:multiLevelType w:val="hybridMultilevel"/>
    <w:tmpl w:val="E71A6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61F4EA0"/>
    <w:multiLevelType w:val="hybridMultilevel"/>
    <w:tmpl w:val="0DB2B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82759260">
    <w:abstractNumId w:val="25"/>
  </w:num>
  <w:num w:numId="2" w16cid:durableId="1065953816">
    <w:abstractNumId w:val="1"/>
  </w:num>
  <w:num w:numId="3" w16cid:durableId="337579484">
    <w:abstractNumId w:val="32"/>
  </w:num>
  <w:num w:numId="4" w16cid:durableId="729115588">
    <w:abstractNumId w:val="11"/>
  </w:num>
  <w:num w:numId="5" w16cid:durableId="1332368836">
    <w:abstractNumId w:val="8"/>
  </w:num>
  <w:num w:numId="6" w16cid:durableId="1447656638">
    <w:abstractNumId w:val="19"/>
  </w:num>
  <w:num w:numId="7" w16cid:durableId="2078088559">
    <w:abstractNumId w:val="38"/>
  </w:num>
  <w:num w:numId="8" w16cid:durableId="1229997982">
    <w:abstractNumId w:val="27"/>
  </w:num>
  <w:num w:numId="9" w16cid:durableId="916131533">
    <w:abstractNumId w:val="12"/>
  </w:num>
  <w:num w:numId="10" w16cid:durableId="44262948">
    <w:abstractNumId w:val="14"/>
  </w:num>
  <w:num w:numId="11" w16cid:durableId="1623806563">
    <w:abstractNumId w:val="3"/>
  </w:num>
  <w:num w:numId="12" w16cid:durableId="1218709062">
    <w:abstractNumId w:val="30"/>
  </w:num>
  <w:num w:numId="13" w16cid:durableId="119539819">
    <w:abstractNumId w:val="7"/>
  </w:num>
  <w:num w:numId="14" w16cid:durableId="155146760">
    <w:abstractNumId w:val="35"/>
  </w:num>
  <w:num w:numId="15" w16cid:durableId="999043369">
    <w:abstractNumId w:val="21"/>
  </w:num>
  <w:num w:numId="16" w16cid:durableId="1331371447">
    <w:abstractNumId w:val="24"/>
  </w:num>
  <w:num w:numId="17" w16cid:durableId="2034455518">
    <w:abstractNumId w:val="26"/>
  </w:num>
  <w:num w:numId="18" w16cid:durableId="1740128475">
    <w:abstractNumId w:val="10"/>
  </w:num>
  <w:num w:numId="19" w16cid:durableId="401298804">
    <w:abstractNumId w:val="31"/>
  </w:num>
  <w:num w:numId="20" w16cid:durableId="1217621696">
    <w:abstractNumId w:val="4"/>
  </w:num>
  <w:num w:numId="21" w16cid:durableId="545332332">
    <w:abstractNumId w:val="22"/>
  </w:num>
  <w:num w:numId="22" w16cid:durableId="1790778327">
    <w:abstractNumId w:val="15"/>
  </w:num>
  <w:num w:numId="23" w16cid:durableId="1066413523">
    <w:abstractNumId w:val="29"/>
  </w:num>
  <w:num w:numId="24" w16cid:durableId="218322043">
    <w:abstractNumId w:val="28"/>
  </w:num>
  <w:num w:numId="25" w16cid:durableId="4014706">
    <w:abstractNumId w:val="17"/>
  </w:num>
  <w:num w:numId="26" w16cid:durableId="7873439">
    <w:abstractNumId w:val="20"/>
  </w:num>
  <w:num w:numId="27" w16cid:durableId="58789319">
    <w:abstractNumId w:val="6"/>
  </w:num>
  <w:num w:numId="28" w16cid:durableId="1281184900">
    <w:abstractNumId w:val="34"/>
  </w:num>
  <w:num w:numId="29" w16cid:durableId="2144733948">
    <w:abstractNumId w:val="33"/>
  </w:num>
  <w:num w:numId="30" w16cid:durableId="218900118">
    <w:abstractNumId w:val="37"/>
  </w:num>
  <w:num w:numId="31" w16cid:durableId="217864557">
    <w:abstractNumId w:val="36"/>
  </w:num>
  <w:num w:numId="32" w16cid:durableId="2042632329">
    <w:abstractNumId w:val="9"/>
  </w:num>
  <w:num w:numId="33" w16cid:durableId="514534311">
    <w:abstractNumId w:val="16"/>
  </w:num>
  <w:num w:numId="34" w16cid:durableId="470711976">
    <w:abstractNumId w:val="0"/>
  </w:num>
  <w:num w:numId="35" w16cid:durableId="743793986">
    <w:abstractNumId w:val="23"/>
  </w:num>
  <w:num w:numId="36" w16cid:durableId="1512255265">
    <w:abstractNumId w:val="5"/>
  </w:num>
  <w:num w:numId="37" w16cid:durableId="2083717221">
    <w:abstractNumId w:val="18"/>
  </w:num>
  <w:num w:numId="38" w16cid:durableId="1899701938">
    <w:abstractNumId w:val="13"/>
  </w:num>
  <w:num w:numId="39" w16cid:durableId="69010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xNDUyNDcyMTWxNDBX0lEKTi0uzszPAykwtKgFACWIRUEtAAAA"/>
  </w:docVars>
  <w:rsids>
    <w:rsidRoot w:val="00BE28B9"/>
    <w:rsid w:val="00017EDB"/>
    <w:rsid w:val="000A5857"/>
    <w:rsid w:val="000D1DF6"/>
    <w:rsid w:val="00110EFD"/>
    <w:rsid w:val="0013623B"/>
    <w:rsid w:val="00140B5F"/>
    <w:rsid w:val="001877C3"/>
    <w:rsid w:val="00192128"/>
    <w:rsid w:val="001A61BB"/>
    <w:rsid w:val="001C6F24"/>
    <w:rsid w:val="001D078C"/>
    <w:rsid w:val="00212050"/>
    <w:rsid w:val="00226A74"/>
    <w:rsid w:val="0025415B"/>
    <w:rsid w:val="00265ECE"/>
    <w:rsid w:val="002E3704"/>
    <w:rsid w:val="00302EA6"/>
    <w:rsid w:val="0033512F"/>
    <w:rsid w:val="00340825"/>
    <w:rsid w:val="00372C5D"/>
    <w:rsid w:val="003A5B0E"/>
    <w:rsid w:val="003B3FCD"/>
    <w:rsid w:val="00441C5E"/>
    <w:rsid w:val="004532F7"/>
    <w:rsid w:val="00491746"/>
    <w:rsid w:val="004B4101"/>
    <w:rsid w:val="004D6A1A"/>
    <w:rsid w:val="004F6897"/>
    <w:rsid w:val="005017E8"/>
    <w:rsid w:val="0051269B"/>
    <w:rsid w:val="0056354D"/>
    <w:rsid w:val="005C5ED5"/>
    <w:rsid w:val="005D1396"/>
    <w:rsid w:val="005D5D43"/>
    <w:rsid w:val="00641403"/>
    <w:rsid w:val="00663439"/>
    <w:rsid w:val="00677C43"/>
    <w:rsid w:val="0068534C"/>
    <w:rsid w:val="006D7B6A"/>
    <w:rsid w:val="00723FF5"/>
    <w:rsid w:val="00750FC2"/>
    <w:rsid w:val="00755230"/>
    <w:rsid w:val="007814BA"/>
    <w:rsid w:val="007902AD"/>
    <w:rsid w:val="00850111"/>
    <w:rsid w:val="008715D9"/>
    <w:rsid w:val="008D5881"/>
    <w:rsid w:val="008E495B"/>
    <w:rsid w:val="009003D5"/>
    <w:rsid w:val="00943C89"/>
    <w:rsid w:val="009659F5"/>
    <w:rsid w:val="00972B70"/>
    <w:rsid w:val="00975AA0"/>
    <w:rsid w:val="009A077D"/>
    <w:rsid w:val="009C6D09"/>
    <w:rsid w:val="009D3F04"/>
    <w:rsid w:val="009E4B3C"/>
    <w:rsid w:val="00A23773"/>
    <w:rsid w:val="00AE18D4"/>
    <w:rsid w:val="00AF6B54"/>
    <w:rsid w:val="00B1418D"/>
    <w:rsid w:val="00B40F0D"/>
    <w:rsid w:val="00B76349"/>
    <w:rsid w:val="00B822F3"/>
    <w:rsid w:val="00BD6140"/>
    <w:rsid w:val="00BE28B9"/>
    <w:rsid w:val="00C25C29"/>
    <w:rsid w:val="00C37645"/>
    <w:rsid w:val="00C47182"/>
    <w:rsid w:val="00C61151"/>
    <w:rsid w:val="00C81086"/>
    <w:rsid w:val="00CB16E7"/>
    <w:rsid w:val="00CD40D4"/>
    <w:rsid w:val="00CE2A93"/>
    <w:rsid w:val="00CF2642"/>
    <w:rsid w:val="00D53765"/>
    <w:rsid w:val="00DD44D2"/>
    <w:rsid w:val="00DE3D80"/>
    <w:rsid w:val="00DF542D"/>
    <w:rsid w:val="00E11BAA"/>
    <w:rsid w:val="00E32BFA"/>
    <w:rsid w:val="00E3792D"/>
    <w:rsid w:val="00E41DFA"/>
    <w:rsid w:val="00E5442B"/>
    <w:rsid w:val="00E709CB"/>
    <w:rsid w:val="00E70E61"/>
    <w:rsid w:val="00E86F40"/>
    <w:rsid w:val="00ED5A3D"/>
    <w:rsid w:val="00F5311D"/>
    <w:rsid w:val="00F532CB"/>
    <w:rsid w:val="00F62D1D"/>
    <w:rsid w:val="00F91B7B"/>
    <w:rsid w:val="00F94634"/>
    <w:rsid w:val="00FA011F"/>
    <w:rsid w:val="00FB4BC8"/>
    <w:rsid w:val="00FE6160"/>
    <w:rsid w:val="00FF3E6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FE2BA"/>
  <w15:chartTrackingRefBased/>
  <w15:docId w15:val="{252D52B2-837E-4002-B042-2D40A90C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4D2"/>
    <w:pPr>
      <w:spacing w:after="0" w:line="276" w:lineRule="auto"/>
    </w:pPr>
    <w:rPr>
      <w:sz w:val="24"/>
      <w:szCs w:val="24"/>
    </w:rPr>
  </w:style>
  <w:style w:type="paragraph" w:styleId="Heading1">
    <w:name w:val="heading 1"/>
    <w:basedOn w:val="Normal"/>
    <w:next w:val="Normal"/>
    <w:link w:val="Heading1Char"/>
    <w:uiPriority w:val="9"/>
    <w:qFormat/>
    <w:rsid w:val="00265ECE"/>
    <w:pPr>
      <w:shd w:val="clear" w:color="auto" w:fill="1E3765" w:themeFill="text2"/>
      <w:outlineLvl w:val="0"/>
    </w:pPr>
    <w:rPr>
      <w:b/>
      <w:bCs/>
      <w:color w:val="FFFFFF" w:themeColor="background1"/>
      <w:sz w:val="36"/>
      <w:szCs w:val="36"/>
    </w:rPr>
  </w:style>
  <w:style w:type="paragraph" w:styleId="Heading2">
    <w:name w:val="heading 2"/>
    <w:basedOn w:val="Normal"/>
    <w:next w:val="Normal"/>
    <w:link w:val="Heading2Char"/>
    <w:uiPriority w:val="9"/>
    <w:unhideWhenUsed/>
    <w:qFormat/>
    <w:rsid w:val="00265ECE"/>
    <w:pPr>
      <w:outlineLvl w:val="1"/>
    </w:pPr>
    <w:rPr>
      <w:b/>
      <w:bCs/>
      <w:color w:val="1E3765" w:themeColor="text2"/>
      <w:sz w:val="32"/>
      <w:szCs w:val="32"/>
    </w:rPr>
  </w:style>
  <w:style w:type="paragraph" w:styleId="Heading3">
    <w:name w:val="heading 3"/>
    <w:basedOn w:val="Normal"/>
    <w:next w:val="Normal"/>
    <w:link w:val="Heading3Char"/>
    <w:uiPriority w:val="9"/>
    <w:unhideWhenUsed/>
    <w:qFormat/>
    <w:rsid w:val="00265ECE"/>
    <w:pPr>
      <w:outlineLvl w:val="2"/>
    </w:pPr>
    <w:rPr>
      <w:b/>
      <w:bCs/>
      <w:color w:val="007894" w:themeColor="accent1"/>
      <w:sz w:val="28"/>
      <w:szCs w:val="28"/>
    </w:rPr>
  </w:style>
  <w:style w:type="paragraph" w:styleId="Heading4">
    <w:name w:val="heading 4"/>
    <w:basedOn w:val="Normal"/>
    <w:next w:val="Normal"/>
    <w:link w:val="Heading4Char"/>
    <w:uiPriority w:val="9"/>
    <w:unhideWhenUsed/>
    <w:qFormat/>
    <w:rsid w:val="00265ECE"/>
    <w:pPr>
      <w:outlineLvl w:val="3"/>
    </w:pPr>
    <w:rPr>
      <w:b/>
      <w:bCs/>
      <w:color w:val="1E376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78C"/>
    <w:pPr>
      <w:tabs>
        <w:tab w:val="center" w:pos="4680"/>
        <w:tab w:val="right" w:pos="9360"/>
      </w:tabs>
      <w:spacing w:line="240" w:lineRule="auto"/>
    </w:pPr>
  </w:style>
  <w:style w:type="character" w:customStyle="1" w:styleId="HeaderChar">
    <w:name w:val="Header Char"/>
    <w:basedOn w:val="DefaultParagraphFont"/>
    <w:link w:val="Header"/>
    <w:uiPriority w:val="99"/>
    <w:rsid w:val="001D078C"/>
  </w:style>
  <w:style w:type="paragraph" w:styleId="Footer">
    <w:name w:val="footer"/>
    <w:basedOn w:val="Normal"/>
    <w:link w:val="FooterChar"/>
    <w:uiPriority w:val="99"/>
    <w:unhideWhenUsed/>
    <w:rsid w:val="001D078C"/>
    <w:pPr>
      <w:tabs>
        <w:tab w:val="center" w:pos="4680"/>
        <w:tab w:val="right" w:pos="9360"/>
      </w:tabs>
      <w:spacing w:line="240" w:lineRule="auto"/>
    </w:pPr>
  </w:style>
  <w:style w:type="character" w:customStyle="1" w:styleId="FooterChar">
    <w:name w:val="Footer Char"/>
    <w:basedOn w:val="DefaultParagraphFont"/>
    <w:link w:val="Footer"/>
    <w:uiPriority w:val="99"/>
    <w:rsid w:val="001D078C"/>
  </w:style>
  <w:style w:type="paragraph" w:styleId="Title">
    <w:name w:val="Title"/>
    <w:basedOn w:val="Normal"/>
    <w:next w:val="Normal"/>
    <w:link w:val="TitleChar"/>
    <w:uiPriority w:val="10"/>
    <w:qFormat/>
    <w:rsid w:val="00265ECE"/>
    <w:pPr>
      <w:jc w:val="center"/>
    </w:pPr>
    <w:rPr>
      <w:b/>
      <w:bCs/>
      <w:color w:val="1E3765" w:themeColor="text2"/>
      <w:sz w:val="44"/>
      <w:szCs w:val="44"/>
    </w:rPr>
  </w:style>
  <w:style w:type="character" w:customStyle="1" w:styleId="TitleChar">
    <w:name w:val="Title Char"/>
    <w:basedOn w:val="DefaultParagraphFont"/>
    <w:link w:val="Title"/>
    <w:uiPriority w:val="10"/>
    <w:rsid w:val="00265ECE"/>
    <w:rPr>
      <w:b/>
      <w:bCs/>
      <w:color w:val="1E3765" w:themeColor="text2"/>
      <w:sz w:val="44"/>
      <w:szCs w:val="44"/>
    </w:rPr>
  </w:style>
  <w:style w:type="paragraph" w:styleId="Subtitle">
    <w:name w:val="Subtitle"/>
    <w:basedOn w:val="Normal"/>
    <w:next w:val="Normal"/>
    <w:link w:val="SubtitleChar"/>
    <w:uiPriority w:val="11"/>
    <w:qFormat/>
    <w:rsid w:val="00265ECE"/>
    <w:pPr>
      <w:jc w:val="center"/>
    </w:pPr>
    <w:rPr>
      <w:color w:val="595959" w:themeColor="text1" w:themeTint="A6"/>
    </w:rPr>
  </w:style>
  <w:style w:type="character" w:customStyle="1" w:styleId="SubtitleChar">
    <w:name w:val="Subtitle Char"/>
    <w:basedOn w:val="DefaultParagraphFont"/>
    <w:link w:val="Subtitle"/>
    <w:uiPriority w:val="11"/>
    <w:rsid w:val="00265ECE"/>
    <w:rPr>
      <w:color w:val="595959" w:themeColor="text1" w:themeTint="A6"/>
      <w:sz w:val="24"/>
      <w:szCs w:val="24"/>
    </w:rPr>
  </w:style>
  <w:style w:type="character" w:customStyle="1" w:styleId="Heading1Char">
    <w:name w:val="Heading 1 Char"/>
    <w:basedOn w:val="DefaultParagraphFont"/>
    <w:link w:val="Heading1"/>
    <w:uiPriority w:val="9"/>
    <w:rsid w:val="00265ECE"/>
    <w:rPr>
      <w:b/>
      <w:bCs/>
      <w:color w:val="FFFFFF" w:themeColor="background1"/>
      <w:sz w:val="36"/>
      <w:szCs w:val="36"/>
      <w:shd w:val="clear" w:color="auto" w:fill="1E3765" w:themeFill="text2"/>
    </w:rPr>
  </w:style>
  <w:style w:type="character" w:customStyle="1" w:styleId="Heading2Char">
    <w:name w:val="Heading 2 Char"/>
    <w:basedOn w:val="DefaultParagraphFont"/>
    <w:link w:val="Heading2"/>
    <w:uiPriority w:val="9"/>
    <w:rsid w:val="00265ECE"/>
    <w:rPr>
      <w:b/>
      <w:bCs/>
      <w:color w:val="1E3765" w:themeColor="text2"/>
      <w:sz w:val="32"/>
      <w:szCs w:val="32"/>
    </w:rPr>
  </w:style>
  <w:style w:type="character" w:customStyle="1" w:styleId="Heading3Char">
    <w:name w:val="Heading 3 Char"/>
    <w:basedOn w:val="DefaultParagraphFont"/>
    <w:link w:val="Heading3"/>
    <w:uiPriority w:val="9"/>
    <w:rsid w:val="00265ECE"/>
    <w:rPr>
      <w:b/>
      <w:bCs/>
      <w:color w:val="007894" w:themeColor="accent1"/>
      <w:sz w:val="28"/>
      <w:szCs w:val="28"/>
    </w:rPr>
  </w:style>
  <w:style w:type="character" w:customStyle="1" w:styleId="Heading4Char">
    <w:name w:val="Heading 4 Char"/>
    <w:basedOn w:val="DefaultParagraphFont"/>
    <w:link w:val="Heading4"/>
    <w:uiPriority w:val="9"/>
    <w:rsid w:val="00265ECE"/>
    <w:rPr>
      <w:b/>
      <w:bCs/>
      <w:color w:val="1E3765" w:themeColor="text2"/>
      <w:sz w:val="24"/>
      <w:szCs w:val="24"/>
    </w:rPr>
  </w:style>
  <w:style w:type="character" w:styleId="Hyperlink">
    <w:name w:val="Hyperlink"/>
    <w:basedOn w:val="DefaultParagraphFont"/>
    <w:uiPriority w:val="99"/>
    <w:unhideWhenUsed/>
    <w:rsid w:val="00A23773"/>
    <w:rPr>
      <w:color w:val="007894" w:themeColor="hyperlink"/>
      <w:u w:val="single"/>
    </w:rPr>
  </w:style>
  <w:style w:type="character" w:styleId="UnresolvedMention">
    <w:name w:val="Unresolved Mention"/>
    <w:basedOn w:val="DefaultParagraphFont"/>
    <w:uiPriority w:val="99"/>
    <w:semiHidden/>
    <w:unhideWhenUsed/>
    <w:rsid w:val="00A23773"/>
    <w:rPr>
      <w:color w:val="605E5C"/>
      <w:shd w:val="clear" w:color="auto" w:fill="E1DFDD"/>
    </w:rPr>
  </w:style>
  <w:style w:type="table" w:styleId="TableGrid">
    <w:name w:val="Table Grid"/>
    <w:basedOn w:val="TableNormal"/>
    <w:uiPriority w:val="39"/>
    <w:rsid w:val="008D5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95B"/>
    <w:pPr>
      <w:ind w:left="720"/>
      <w:contextualSpacing/>
    </w:pPr>
  </w:style>
  <w:style w:type="paragraph" w:styleId="TOCHeading">
    <w:name w:val="TOC Heading"/>
    <w:basedOn w:val="Heading1"/>
    <w:next w:val="Normal"/>
    <w:uiPriority w:val="39"/>
    <w:unhideWhenUsed/>
    <w:qFormat/>
    <w:rsid w:val="00723FF5"/>
    <w:pPr>
      <w:keepNext/>
      <w:keepLines/>
      <w:spacing w:before="240" w:line="259" w:lineRule="auto"/>
      <w:outlineLvl w:val="9"/>
    </w:pPr>
    <w:rPr>
      <w:rFonts w:asciiTheme="majorHAnsi" w:eastAsiaTheme="majorEastAsia" w:hAnsiTheme="majorHAnsi" w:cstheme="majorBidi"/>
      <w:b w:val="0"/>
      <w:bCs w:val="0"/>
      <w:color w:val="00596E" w:themeColor="accent1" w:themeShade="BF"/>
      <w:sz w:val="32"/>
      <w:szCs w:val="32"/>
      <w:lang w:val="en-US" w:eastAsia="en-US"/>
    </w:rPr>
  </w:style>
  <w:style w:type="paragraph" w:styleId="TOC1">
    <w:name w:val="toc 1"/>
    <w:basedOn w:val="Normal"/>
    <w:next w:val="Normal"/>
    <w:autoRedefine/>
    <w:uiPriority w:val="39"/>
    <w:unhideWhenUsed/>
    <w:rsid w:val="00723FF5"/>
    <w:pPr>
      <w:spacing w:after="100"/>
    </w:pPr>
  </w:style>
  <w:style w:type="paragraph" w:styleId="TOC2">
    <w:name w:val="toc 2"/>
    <w:basedOn w:val="Normal"/>
    <w:next w:val="Normal"/>
    <w:autoRedefine/>
    <w:uiPriority w:val="39"/>
    <w:unhideWhenUsed/>
    <w:rsid w:val="00723FF5"/>
    <w:pPr>
      <w:spacing w:after="100"/>
      <w:ind w:left="240"/>
    </w:pPr>
  </w:style>
  <w:style w:type="paragraph" w:styleId="NoSpacing">
    <w:name w:val="No Spacing"/>
    <w:uiPriority w:val="1"/>
    <w:qFormat/>
    <w:rsid w:val="00C81086"/>
    <w:pPr>
      <w:spacing w:after="0" w:line="240" w:lineRule="auto"/>
    </w:pPr>
    <w:rPr>
      <w:sz w:val="24"/>
      <w:szCs w:val="24"/>
    </w:rPr>
  </w:style>
  <w:style w:type="paragraph" w:styleId="TOC3">
    <w:name w:val="toc 3"/>
    <w:basedOn w:val="Normal"/>
    <w:next w:val="Normal"/>
    <w:autoRedefine/>
    <w:uiPriority w:val="39"/>
    <w:unhideWhenUsed/>
    <w:rsid w:val="00140B5F"/>
    <w:pPr>
      <w:spacing w:after="100"/>
      <w:ind w:left="480"/>
    </w:pPr>
  </w:style>
  <w:style w:type="paragraph" w:styleId="BalloonText">
    <w:name w:val="Balloon Text"/>
    <w:basedOn w:val="Normal"/>
    <w:link w:val="BalloonTextChar"/>
    <w:uiPriority w:val="99"/>
    <w:semiHidden/>
    <w:unhideWhenUsed/>
    <w:rsid w:val="004532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search.library.utoronto.ca/permalink/01UTORONTO_INST/fedca1/cdi_springer_books_10_1007_978_3_031_54144_5_194" TargetMode="External"/><Relationship Id="rId13" Type="http://schemas.openxmlformats.org/officeDocument/2006/relationships/hyperlink" Target="https://www.genaiteach.ca/assessments/drama-essay-assignment/" TargetMode="External"/><Relationship Id="rId18" Type="http://schemas.openxmlformats.org/officeDocument/2006/relationships/hyperlink" Target="https://www.academicintegrity.utoronto.ca/process-and-procedur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emanticscholar.org/paper/Almost-AI%2C-Almost-Human%3A-The-Challenge-of-Detecting-Saha-Feizi/61cf8c379a4c4bf1237e31cf1fc1c0b2ff43a45a?utm_source=direct_link" TargetMode="External"/><Relationship Id="rId7" Type="http://schemas.openxmlformats.org/officeDocument/2006/relationships/endnotes" Target="endnotes.xml"/><Relationship Id="rId12" Type="http://schemas.openxmlformats.org/officeDocument/2006/relationships/hyperlink" Target="https://teaching.utoronto.ca/teaching-uoft-genai/assessment-process-reflection-template" TargetMode="External"/><Relationship Id="rId17" Type="http://schemas.openxmlformats.org/officeDocument/2006/relationships/hyperlink" Target="https://onesearch.library.utoronto.ca/copyright/generative-ai-tools-and-copyright-consideration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guides.library.utoronto.ca/image-gen-ai" TargetMode="External"/><Relationship Id="rId20" Type="http://schemas.openxmlformats.org/officeDocument/2006/relationships/hyperlink" Target="https://arxiv.org/abs/2304.0281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ching.utoronto.ca/resourc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uides.library.utoronto.ca/c.php?g=251103&amp;p=5296636" TargetMode="External"/><Relationship Id="rId23" Type="http://schemas.openxmlformats.org/officeDocument/2006/relationships/hyperlink" Target="https://edintegrity.biomedcentral.com/articles/10.1007/s40979-024-00158-3" TargetMode="External"/><Relationship Id="rId28" Type="http://schemas.openxmlformats.org/officeDocument/2006/relationships/header" Target="header3.xml"/><Relationship Id="rId10" Type="http://schemas.openxmlformats.org/officeDocument/2006/relationships/hyperlink" Target="https://teaching.utoronto.ca/teaching-uoft-genai/teaching-tips/" TargetMode="External"/><Relationship Id="rId19" Type="http://schemas.openxmlformats.org/officeDocument/2006/relationships/hyperlink" Target="https://edintegrity.biomedcentral.com/articles/10.1007/s40979-023-00140-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ceprovostundergrad.utoronto.ca/16072-2/teaching-initiatives/generative-artificial-intelligence/" TargetMode="External"/><Relationship Id="rId14" Type="http://schemas.openxmlformats.org/officeDocument/2006/relationships/hyperlink" Target="https://tatp.utoronto.ca/resources/teaching-with-genai-considerations-for-teaching-assistants/" TargetMode="External"/><Relationship Id="rId22" Type="http://schemas.openxmlformats.org/officeDocument/2006/relationships/hyperlink" Target="https://www.viceprovostundergrad.utoronto.ca/16072-2/teaching-initiatives/generative-artificial-intelligence/"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creativecommons.org/licenses/by-nc-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 of T CTSI">
      <a:dk1>
        <a:sysClr val="windowText" lastClr="000000"/>
      </a:dk1>
      <a:lt1>
        <a:srgbClr val="FFFFFF"/>
      </a:lt1>
      <a:dk2>
        <a:srgbClr val="1E3765"/>
      </a:dk2>
      <a:lt2>
        <a:srgbClr val="FFFFFF"/>
      </a:lt2>
      <a:accent1>
        <a:srgbClr val="007894"/>
      </a:accent1>
      <a:accent2>
        <a:srgbClr val="0D534D"/>
      </a:accent2>
      <a:accent3>
        <a:srgbClr val="F1C500"/>
      </a:accent3>
      <a:accent4>
        <a:srgbClr val="DC4633"/>
      </a:accent4>
      <a:accent5>
        <a:srgbClr val="AB1368"/>
      </a:accent5>
      <a:accent6>
        <a:srgbClr val="6D247A"/>
      </a:accent6>
      <a:hlink>
        <a:srgbClr val="007894"/>
      </a:hlink>
      <a:folHlink>
        <a:srgbClr val="6D24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FD3A0-1C1E-4C44-8533-44AB9C36B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689</Words>
  <Characters>3931</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Proactive Strategies to Address Unauthorized GenAI Use</vt:lpstr>
      <vt:lpstr>Fostering Honesty via Course Design</vt:lpstr>
      <vt:lpstr>Educating Students on Best Practices</vt:lpstr>
      <vt:lpstr>Identifying Possible Misconduct Cases</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Proactive Strategies to Address Unauthorized GenAI Use</dc:title>
  <dc:subject/>
  <dc:creator>Victoria Sheldon</dc:creator>
  <cp:keywords/>
  <dc:description/>
  <cp:lastModifiedBy>Victoria Sheldon</cp:lastModifiedBy>
  <cp:revision>11</cp:revision>
  <dcterms:created xsi:type="dcterms:W3CDTF">2024-07-05T02:47:00Z</dcterms:created>
  <dcterms:modified xsi:type="dcterms:W3CDTF">2025-05-23T20:39:00Z</dcterms:modified>
</cp:coreProperties>
</file>